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b w:val="1"/>
          <w:color w:val="262626"/>
          <w:sz w:val="21"/>
          <w:szCs w:val="21"/>
          <w:rtl w:val="0"/>
        </w:rPr>
        <w:t xml:space="preserve">Refer</w:t>
      </w:r>
      <w:r w:rsidDel="00000000" w:rsidR="00000000" w:rsidRPr="00000000">
        <w:rPr>
          <w:color w:val="262626"/>
          <w:sz w:val="21"/>
          <w:szCs w:val="21"/>
          <w:rtl w:val="0"/>
        </w:rPr>
        <w:t xml:space="preserve"> to the Week 2 - Recommended Learning Activity: Schools as Professional Learning Communities, Ch. 3.</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b w:val="1"/>
          <w:color w:val="262626"/>
          <w:sz w:val="21"/>
          <w:szCs w:val="21"/>
          <w:rtl w:val="0"/>
        </w:rPr>
        <w:t xml:space="preserve">Choose</w:t>
      </w:r>
      <w:r w:rsidDel="00000000" w:rsidR="00000000" w:rsidRPr="00000000">
        <w:rPr>
          <w:color w:val="262626"/>
          <w:sz w:val="21"/>
          <w:szCs w:val="21"/>
          <w:rtl w:val="0"/>
        </w:rPr>
        <w:t xml:space="preserve"> five activities for job-embedded professional development according to Figure 3.1 (p. 70) in Ch. 3 of </w:t>
      </w:r>
      <w:r w:rsidDel="00000000" w:rsidR="00000000" w:rsidRPr="00000000">
        <w:rPr>
          <w:i w:val="1"/>
          <w:color w:val="262626"/>
          <w:sz w:val="21"/>
          <w:szCs w:val="21"/>
          <w:rtl w:val="0"/>
        </w:rPr>
        <w:t xml:space="preserve">Schools as Professional Learning Communities</w:t>
      </w:r>
      <w:r w:rsidDel="00000000" w:rsidR="00000000" w:rsidRPr="00000000">
        <w:rPr>
          <w:color w:val="262626"/>
          <w:sz w:val="21"/>
          <w:szCs w:val="21"/>
          <w:rtl w:val="0"/>
        </w:rPr>
        <w:t xml:space="preserve">.</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b w:val="1"/>
          <w:color w:val="262626"/>
          <w:sz w:val="21"/>
          <w:szCs w:val="21"/>
          <w:rtl w:val="0"/>
        </w:rPr>
        <w:t xml:space="preserve">Write</w:t>
      </w:r>
      <w:r w:rsidDel="00000000" w:rsidR="00000000" w:rsidRPr="00000000">
        <w:rPr>
          <w:color w:val="262626"/>
          <w:sz w:val="21"/>
          <w:szCs w:val="21"/>
          <w:rtl w:val="0"/>
        </w:rPr>
        <w:t xml:space="preserve"> a 350- to 700-word essay explaining how each activity supports reflective teaching.</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b w:val="1"/>
          <w:color w:val="262626"/>
          <w:sz w:val="21"/>
          <w:szCs w:val="21"/>
          <w:rtl w:val="0"/>
        </w:rPr>
        <w:t xml:space="preserve">Include</w:t>
      </w:r>
      <w:r w:rsidDel="00000000" w:rsidR="00000000" w:rsidRPr="00000000">
        <w:rPr>
          <w:color w:val="262626"/>
          <w:sz w:val="21"/>
          <w:szCs w:val="21"/>
          <w:rtl w:val="0"/>
        </w:rPr>
        <w:t xml:space="preserve"> at least five sources, including this week's readings and videos, to justify how each supports reflective practice.</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b w:val="1"/>
          <w:color w:val="262626"/>
          <w:sz w:val="21"/>
          <w:szCs w:val="21"/>
          <w:rtl w:val="0"/>
        </w:rPr>
        <w:t xml:space="preserve">Format</w:t>
      </w:r>
      <w:r w:rsidDel="00000000" w:rsidR="00000000" w:rsidRPr="00000000">
        <w:rPr>
          <w:color w:val="262626"/>
          <w:sz w:val="21"/>
          <w:szCs w:val="21"/>
          <w:rtl w:val="0"/>
        </w:rPr>
        <w:t xml:space="preserve"> your essay according to APA guidelines.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11"/>
          <w:szCs w:val="11"/>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Information and Sources  to put in my essay</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Five activities: chapter 3 </w:t>
      </w:r>
    </w:p>
    <w:p w:rsidR="00000000" w:rsidDel="00000000" w:rsidP="00000000" w:rsidRDefault="00000000" w:rsidRPr="00000000" w14:paraId="0000000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262626"/>
          <w:sz w:val="17"/>
          <w:szCs w:val="17"/>
        </w:rPr>
      </w:pPr>
      <w:r w:rsidDel="00000000" w:rsidR="00000000" w:rsidRPr="00000000">
        <w:rPr>
          <w:b w:val="1"/>
          <w:color w:val="262626"/>
          <w:sz w:val="17"/>
          <w:szCs w:val="17"/>
          <w:rtl w:val="0"/>
        </w:rPr>
        <w:t xml:space="preserve">Plan lessons with other teachers teach.</w:t>
      </w:r>
    </w:p>
    <w:p w:rsidR="00000000" w:rsidDel="00000000" w:rsidP="00000000" w:rsidRDefault="00000000" w:rsidRPr="00000000" w14:paraId="0000000F">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262626"/>
          <w:sz w:val="17"/>
          <w:szCs w:val="17"/>
        </w:rPr>
      </w:pPr>
      <w:r w:rsidDel="00000000" w:rsidR="00000000" w:rsidRPr="00000000">
        <w:rPr>
          <w:b w:val="1"/>
          <w:color w:val="262626"/>
          <w:sz w:val="17"/>
          <w:szCs w:val="17"/>
          <w:rtl w:val="0"/>
        </w:rPr>
        <w:t xml:space="preserve">Give and receive feedback on instructional behaviors from peers.</w:t>
      </w:r>
    </w:p>
    <w:p w:rsidR="00000000" w:rsidDel="00000000" w:rsidP="00000000" w:rsidRDefault="00000000" w:rsidRPr="00000000" w14:paraId="00000010">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262626"/>
          <w:sz w:val="17"/>
          <w:szCs w:val="17"/>
        </w:rPr>
      </w:pPr>
      <w:r w:rsidDel="00000000" w:rsidR="00000000" w:rsidRPr="00000000">
        <w:rPr>
          <w:b w:val="1"/>
          <w:color w:val="262626"/>
          <w:sz w:val="17"/>
          <w:szCs w:val="17"/>
          <w:rtl w:val="0"/>
        </w:rPr>
        <w:t xml:space="preserve">Coach one another</w:t>
      </w:r>
    </w:p>
    <w:p w:rsidR="00000000" w:rsidDel="00000000" w:rsidP="00000000" w:rsidRDefault="00000000" w:rsidRPr="00000000" w14:paraId="00000011">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262626"/>
          <w:sz w:val="17"/>
          <w:szCs w:val="17"/>
        </w:rPr>
      </w:pPr>
      <w:r w:rsidDel="00000000" w:rsidR="00000000" w:rsidRPr="00000000">
        <w:rPr>
          <w:b w:val="1"/>
          <w:color w:val="262626"/>
          <w:sz w:val="17"/>
          <w:szCs w:val="17"/>
          <w:rtl w:val="0"/>
        </w:rPr>
        <w:t xml:space="preserve">Become of part of a study group</w:t>
      </w:r>
    </w:p>
    <w:p w:rsidR="00000000" w:rsidDel="00000000" w:rsidP="00000000" w:rsidRDefault="00000000" w:rsidRPr="00000000" w14:paraId="00000012">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262626"/>
          <w:sz w:val="17"/>
          <w:szCs w:val="17"/>
        </w:rPr>
      </w:pPr>
      <w:r w:rsidDel="00000000" w:rsidR="00000000" w:rsidRPr="00000000">
        <w:rPr>
          <w:b w:val="1"/>
          <w:color w:val="262626"/>
          <w:sz w:val="17"/>
          <w:szCs w:val="17"/>
          <w:rtl w:val="0"/>
        </w:rPr>
        <w:t xml:space="preserve">Looking at students working together.</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5"/>
          <w:szCs w:val="25"/>
        </w:rPr>
      </w:pPr>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5"/>
          <w:szCs w:val="25"/>
        </w:rPr>
      </w:pPr>
      <w:r w:rsidDel="00000000" w:rsidR="00000000" w:rsidRPr="00000000">
        <w:rPr>
          <w:b w:val="1"/>
          <w:color w:val="262626"/>
          <w:sz w:val="25"/>
          <w:szCs w:val="25"/>
          <w:rtl w:val="0"/>
        </w:rPr>
        <w:t xml:space="preserve"> Here  are my five sources. Include 5 sources: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 professional community, as identified by Kruse, Louis, and Bryk (1995), has as its focus the cultivation of learning and interaction among teachers and administrators so as to improve teaching and learning outcomes for students and for the school community at large. #1</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collaborative observation is a strategy in which colleagues provide support and feedback to one another about the effective use of new instructional practices (Peters &amp; March, 1999). # 2</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Staff development is not just an irrelevant activity added on at the end of the day: It is part of the job (DuFour, 2004; Wood &amp; McQuarrie, 1999)  question #3</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It is important to provide members of the school community with staff development and professional reading to prepare them for their roles (Wallace et al., 1997).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They decide, for example, to do study groups, involve teams of educators in collaborative planning, or engage staff members in action research projects (Guskey, 1999a).#4</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Annenberg Institute for School Reform (2001) noted, student work gives important information about the effectiveness of instruction in a learning community, and it should be public. #5</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References</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Kruse S. D., Louis K. S., &amp; Bryk A. (1995). An emerging framework for analyzing school-based professional community. In Louis K. S., &amp; Kruse S. D. (Eds.), Professionalism and Community: Perspectives on Reforming Urban Schools (p. 23–42). Thousand Oaks, CA: Corwin Press.</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Peters K. H., &amp; March J. K. (1999). Collaborative Observation. Thousand Oaks, CA: Corwin Press.</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DuFour R. (2004) Leading edge: The best staff development is in the workplace, not in a workshop. Journal of Staff Development, 25(2), 63–64.</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Wallace R. C., Engel D. E., &amp; Mooney J. E. (1997). The learning school, a guide to vision-based leadership. Thousand Oaks, CA: Corwin Press.</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b w:val="1"/>
          <w:color w:val="262626"/>
          <w:sz w:val="17"/>
          <w:szCs w:val="17"/>
          <w:rtl w:val="0"/>
        </w:rPr>
        <w:t xml:space="preserve">Annenburg Institute for School Reform. (2001). Looking at student work [Web site]. Retrieved March 14, 2003, from http://lasw.org/welcome.html</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17"/>
          <w:szCs w:val="17"/>
        </w:rPr>
      </w:pPr>
      <w:r w:rsidDel="00000000" w:rsidR="00000000" w:rsidRPr="00000000">
        <w:rPr>
          <w:rtl w:val="0"/>
        </w:rPr>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7"/>
          <w:szCs w:val="27"/>
        </w:rPr>
      </w:pPr>
      <w:r w:rsidDel="00000000" w:rsidR="00000000" w:rsidRPr="00000000">
        <w:rPr>
          <w:rtl w:val="0"/>
        </w:rPr>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7"/>
          <w:szCs w:val="27"/>
        </w:rPr>
      </w:pPr>
      <w:r w:rsidDel="00000000" w:rsidR="00000000" w:rsidRPr="00000000">
        <w:rPr>
          <w:rtl w:val="0"/>
        </w:rPr>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7"/>
          <w:szCs w:val="27"/>
        </w:rPr>
      </w:pPr>
      <w:r w:rsidDel="00000000" w:rsidR="00000000" w:rsidRPr="00000000">
        <w:rPr>
          <w:rtl w:val="0"/>
        </w:rPr>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35">
      <w:pPr>
        <w:rPr>
          <w:color w:val="262626"/>
          <w:sz w:val="21"/>
          <w:szCs w:val="21"/>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